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Соревнование по парусному спорту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«Малый кубок Ассоциации класса </w:t>
      </w:r>
      <w:r>
        <w:rPr>
          <w:b/>
          <w:bCs/>
          <w:sz w:val="36"/>
          <w:szCs w:val="36"/>
          <w:lang w:val="en-US"/>
        </w:rPr>
        <w:t>ORC</w:t>
      </w:r>
      <w:r>
        <w:rPr>
          <w:b/>
          <w:bCs/>
          <w:sz w:val="36"/>
          <w:szCs w:val="36"/>
        </w:rPr>
        <w:t xml:space="preserve"> Северо-Запад»</w:t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27 июля – 2 августа 2021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Гоночная инструкция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jc w:val="both"/>
        <w:rPr>
          <w:b/>
          <w:b/>
          <w:bCs/>
        </w:rPr>
      </w:pPr>
      <w:r>
        <w:rPr>
          <w:b w:val="false"/>
          <w:bCs w:val="false"/>
          <w:i/>
          <w:iCs/>
          <w:sz w:val="28"/>
          <w:szCs w:val="28"/>
        </w:rPr>
        <w:t>Сокращения: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b w:val="false"/>
          <w:bCs w:val="false"/>
          <w:i/>
          <w:iCs/>
          <w:sz w:val="28"/>
          <w:szCs w:val="28"/>
        </w:rPr>
        <w:t>«[DP]» — наказание за нарушение этого правила может быть, по усмотрению протестового комитета, меньше, чем дисквалификация.</w:t>
      </w:r>
    </w:p>
    <w:p>
      <w:pPr>
        <w:pStyle w:val="Normal"/>
        <w:numPr>
          <w:ilvl w:val="0"/>
          <w:numId w:val="0"/>
        </w:numPr>
        <w:ind w:left="720" w:hanging="0"/>
        <w:rPr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 xml:space="preserve">«[NP]» — нарушение этого пункта не является </w:t>
      </w:r>
      <w:r>
        <w:rPr>
          <w:rStyle w:val="FontStyle111"/>
          <w:b w:val="false"/>
          <w:bCs w:val="false"/>
          <w:i/>
          <w:iCs/>
          <w:sz w:val="28"/>
          <w:szCs w:val="28"/>
        </w:rPr>
        <w:t>основанием для протеста яхты. Это изменяет ППГ 60.1(а).</w:t>
      </w:r>
    </w:p>
    <w:p>
      <w:pPr>
        <w:pStyle w:val="Normal"/>
        <w:numPr>
          <w:ilvl w:val="0"/>
          <w:numId w:val="0"/>
        </w:numPr>
        <w:ind w:left="720" w:hanging="0"/>
        <w:rPr>
          <w:rStyle w:val="FontStyle111"/>
          <w:b w:val="false"/>
          <w:b w:val="false"/>
          <w:bCs w:val="false"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Правила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Соревнование проводится по правилам, как определено в </w:t>
      </w:r>
      <w:r>
        <w:rPr>
          <w:i/>
          <w:iCs/>
        </w:rPr>
        <w:t xml:space="preserve">Правилах Парусных гонок </w:t>
      </w:r>
      <w:r>
        <w:rPr/>
        <w:t>(ППГ-21)</w:t>
      </w:r>
      <w:r>
        <w:rPr>
          <w:i/>
          <w:iCs/>
        </w:rPr>
        <w:t>.</w:t>
      </w:r>
    </w:p>
    <w:p>
      <w:pPr>
        <w:pStyle w:val="Normal"/>
        <w:numPr>
          <w:ilvl w:val="1"/>
          <w:numId w:val="2"/>
        </w:numPr>
        <w:rPr/>
      </w:pPr>
      <w:r>
        <w:rPr/>
        <w:t>Также будут применяться:</w:t>
      </w:r>
    </w:p>
    <w:p>
      <w:pPr>
        <w:pStyle w:val="Normal"/>
        <w:numPr>
          <w:ilvl w:val="2"/>
          <w:numId w:val="2"/>
        </w:numPr>
        <w:rPr/>
      </w:pPr>
      <w:r>
        <w:rPr/>
        <w:t>Специальные правила World Sailing для морских гонок, категории 5;</w:t>
      </w:r>
    </w:p>
    <w:p>
      <w:pPr>
        <w:pStyle w:val="Normal"/>
        <w:numPr>
          <w:ilvl w:val="2"/>
          <w:numId w:val="2"/>
        </w:numPr>
        <w:rPr/>
      </w:pPr>
      <w:r>
        <w:rPr/>
        <w:t>Правила по оборудованию в парусных гонках;</w:t>
      </w:r>
    </w:p>
    <w:p>
      <w:pPr>
        <w:pStyle w:val="Normal"/>
        <w:numPr>
          <w:ilvl w:val="2"/>
          <w:numId w:val="2"/>
        </w:numPr>
        <w:rPr/>
      </w:pPr>
      <w:r>
        <w:rPr/>
        <w:t>Правила Международной системы обмера IMS (International Measurement System);</w:t>
      </w:r>
    </w:p>
    <w:p>
      <w:pPr>
        <w:pStyle w:val="Normal"/>
        <w:numPr>
          <w:ilvl w:val="2"/>
          <w:numId w:val="2"/>
        </w:numPr>
        <w:rPr/>
      </w:pPr>
      <w:r>
        <w:rPr/>
        <w:t>Правила Системы рейтинга Конгресса по морским гонкам (ORC Rating Systems);</w:t>
      </w:r>
    </w:p>
    <w:p>
      <w:pPr>
        <w:pStyle w:val="Normal"/>
        <w:numPr>
          <w:ilvl w:val="2"/>
          <w:numId w:val="2"/>
        </w:numPr>
        <w:rPr/>
      </w:pPr>
      <w:r>
        <w:rPr/>
        <w:t>Международные правила предупреждения столкновений судов (МППСС-72);</w:t>
      </w:r>
    </w:p>
    <w:p>
      <w:pPr>
        <w:pStyle w:val="Normal"/>
        <w:numPr>
          <w:ilvl w:val="2"/>
          <w:numId w:val="2"/>
        </w:numPr>
        <w:rPr/>
      </w:pPr>
      <w:r>
        <w:rPr/>
        <w:t>Обязательные постановления Администрации морского порта Санкт-Петербург.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Оповещение участников</w:t>
      </w:r>
    </w:p>
    <w:p>
      <w:pPr>
        <w:pStyle w:val="Normal"/>
        <w:numPr>
          <w:ilvl w:val="0"/>
          <w:numId w:val="0"/>
        </w:numPr>
        <w:bidi w:val="0"/>
        <w:ind w:left="720" w:hanging="0"/>
        <w:rPr>
          <w:b/>
          <w:b/>
          <w:bCs/>
        </w:rPr>
      </w:pPr>
      <w:r>
        <w:rPr/>
        <w:t>Извещения участникам будут публиковаться:</w:t>
      </w:r>
    </w:p>
    <w:p>
      <w:pPr>
        <w:pStyle w:val="Normal"/>
        <w:numPr>
          <w:ilvl w:val="2"/>
          <w:numId w:val="2"/>
        </w:numPr>
        <w:bidi w:val="0"/>
        <w:rPr>
          <w:b/>
          <w:b/>
          <w:bCs/>
        </w:rPr>
      </w:pPr>
      <w:r>
        <w:rPr/>
        <w:t xml:space="preserve">на сайте Ассоциации класса ORC Северо-Запад: </w:t>
      </w:r>
      <w:hyperlink r:id="rId2">
        <w:r>
          <w:rPr>
            <w:rStyle w:val="InternetLink"/>
          </w:rPr>
          <w:t>http://orcnw.ru/</w:t>
        </w:r>
      </w:hyperlink>
      <w:r>
        <w:rPr/>
        <w:t>,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чате в мессенджере Telegram.</w:t>
      </w:r>
    </w:p>
    <w:p>
      <w:pPr>
        <w:pStyle w:val="Normal"/>
        <w:widowControl/>
        <w:numPr>
          <w:ilvl w:val="0"/>
          <w:numId w:val="2"/>
        </w:numPr>
        <w:suppressAutoHyphens w:val="true"/>
        <w:bidi w:val="0"/>
        <w:spacing w:before="0" w:after="0"/>
        <w:jc w:val="both"/>
        <w:rPr>
          <w:b/>
          <w:b/>
          <w:bCs/>
        </w:rPr>
      </w:pPr>
      <w:r>
        <w:rPr>
          <w:b/>
          <w:bCs/>
        </w:rPr>
        <w:t>Изменения гоночной инструкции</w:t>
      </w:r>
    </w:p>
    <w:p>
      <w:pPr>
        <w:pStyle w:val="Normal"/>
        <w:numPr>
          <w:ilvl w:val="1"/>
          <w:numId w:val="2"/>
        </w:numPr>
        <w:ind w:left="680" w:hanging="340"/>
        <w:rPr>
          <w:b/>
          <w:b/>
          <w:bCs/>
        </w:rPr>
      </w:pPr>
      <w:r>
        <w:rPr/>
        <w:t>Любое изменение гоночной инструкции будет вывешено до 9:00 дня, когда оно вступает в силу, за исключением изменений в расписании гонок, которые будут вывешены до 20:00 дня накануне вступления в силу.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период проведения гонки вся необходимая информация (в том числе указания об изменениях правил) будет передаваться на канале 72-VHS.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Сигналы, подаваемые на берегу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/>
        <w:t>Сигналы на берегу подаваться не будут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Расписание гонок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Гоночные дни — 31 июля, 1 августа 2021 г.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Расписание гонок:</w:t>
      </w:r>
    </w:p>
    <w:tbl>
      <w:tblPr>
        <w:tblW w:w="8712" w:type="dxa"/>
        <w:jc w:val="left"/>
        <w:tblInd w:w="93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noHBand="0" w:noVBand="0" w:firstColumn="0" w:lastRow="0" w:lastColumn="0" w:firstRow="0"/>
      </w:tblPr>
      <w:tblGrid>
        <w:gridCol w:w="2279"/>
        <w:gridCol w:w="3213"/>
        <w:gridCol w:w="3220"/>
      </w:tblGrid>
      <w:tr>
        <w:trPr/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37" w:hanging="737"/>
              <w:jc w:val="center"/>
              <w:rPr/>
            </w:pPr>
            <w:r>
              <w:rPr/>
              <w:t>31 июля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>Гонка №1Старт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11:</w:t>
            </w:r>
            <w:r>
              <w:rPr/>
              <w:t>3</w:t>
            </w:r>
            <w:r>
              <w:rPr/>
              <w:t>0</w:t>
            </w:r>
          </w:p>
        </w:tc>
      </w:tr>
      <w:tr>
        <w:trPr/>
        <w:tc>
          <w:tcPr>
            <w:tcW w:w="2279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1 августа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>Гонка №2Старт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12:00</w:t>
            </w:r>
          </w:p>
        </w:tc>
      </w:tr>
      <w:tr>
        <w:trPr/>
        <w:tc>
          <w:tcPr>
            <w:tcW w:w="2279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rPr/>
            </w:pPr>
            <w:r>
              <w:rPr/>
              <w:t>Гонка №3Старт</w:t>
            </w:r>
          </w:p>
        </w:tc>
        <w:tc>
          <w:tcPr>
            <w:tcW w:w="3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0" w:hanging="0"/>
              <w:jc w:val="center"/>
              <w:rPr/>
            </w:pPr>
            <w:r>
              <w:rPr/>
              <w:t>По готовности</w:t>
            </w:r>
          </w:p>
        </w:tc>
      </w:tr>
    </w:tbl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Никакой сигнал «Предупреждение» не будет дан после 17:00.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того, чтобы предупредить яхты о том, что вскоре начнется гонка, по крайней мере за пять минут до сигнала «Предупреждение» будет поднят оранжевый флаг с одним звуковым сигналом.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Порядок стартов, флаги стартовых групп, сигнализация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Стартовые группы могут быть образованы из яхт различных зачётных групп.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Порядок стартов, состав стартовых групп и флаги класса будут объявлены дополнительно после завершения работы комиссии по допуску.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Зоны гонок, дистанции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Схемы дистанций, описание знаков дистанции и их координаты  приведены в приложениях 2, 3.</w:t>
      </w:r>
    </w:p>
    <w:p>
      <w:pPr>
        <w:pStyle w:val="Normal"/>
        <w:numPr>
          <w:ilvl w:val="1"/>
          <w:numId w:val="2"/>
        </w:numPr>
        <w:rPr/>
      </w:pPr>
      <w:r>
        <w:rPr/>
        <w:t>Неточность в указании координат не будет являться основанием для требования исправить результат. Это изменяет ППГ 62.1(а).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Схема в Приложении 2 показывает дистанции гонок, включая приблизительные курсы на участках дистанции, порядок прохождения знаков, и указывают, по какому борту каждый из них нужно оставить.</w:t>
      </w:r>
    </w:p>
    <w:p>
      <w:pPr>
        <w:pStyle w:val="Normal"/>
        <w:numPr>
          <w:ilvl w:val="1"/>
          <w:numId w:val="2"/>
        </w:numPr>
        <w:rPr/>
      </w:pPr>
      <w:r>
        <w:rPr/>
        <w:t>В гонке №1 не позднее сигнала «Предупреждение» на ГСС будет поднят вымпел, соответствующий выбранной дистанции.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 xml:space="preserve">Приблизительная длина дистанции гонки №1 — от 30 до </w:t>
      </w:r>
      <w:r>
        <w:rPr>
          <w:color w:val="000000"/>
          <w:shd w:fill="auto" w:val="clear"/>
        </w:rPr>
        <w:t>40</w:t>
      </w:r>
      <w:r>
        <w:rPr>
          <w:color w:val="000000"/>
        </w:rPr>
        <w:t xml:space="preserve"> морских миль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Приблизительная длина дистанции гонок №2, 3 — от 4 до 8 морских миль.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Знаки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Знаки стартовой линии – судейское судно и веха с оранжевым флагом.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Знаки финишной линии – судейское судно и веха с синим флагом</w:t>
      </w:r>
      <w:r>
        <w:rPr>
          <w:color w:val="000000"/>
        </w:rPr>
        <w:t>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Описание знаков гонки №1 дано в Приложении 2.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Для гонок №2, 3 знаки 1, 1a, 2S и 2P будут надувными буями оранжевого цвета</w:t>
      </w:r>
      <w:r>
        <w:rPr/>
        <w:t>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ГСС и судно ГК, стоящее на продолжении стартовой линии, могут использовать двигатели для удержания своей позиции. Неудавшаяся попытка держаться в стороне от этих судов не будет являться основанием для требования исправить результат. Это изменяет ППГ 62.1(а).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Зоны, запретные для плавания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/>
        <w:t xml:space="preserve">Во время гонки яхтам запрещается выходить на Петровский фарватер и Морской канал, или пересекать их. Яхта, нарушившая это правило, должна быть наказана штрафом в 50% от очков, </w:t>
      </w:r>
      <w:r>
        <w:rPr>
          <w:rStyle w:val="1"/>
          <w:rFonts w:cs="Times New Roman"/>
          <w:color w:val="222222"/>
        </w:rPr>
        <w:t>подсчитанным согласно правилу 44.3(с)</w:t>
      </w:r>
      <w:r>
        <w:rPr/>
        <w:t>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Старт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Старты будут даваться в соответствии с ППГ 26.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 xml:space="preserve">Стартовой линией является линия между шестом с оранжевым флагом на </w:t>
      </w:r>
      <w:r>
        <w:rPr>
          <w:color w:val="000000"/>
          <w:sz w:val="28"/>
          <w:szCs w:val="28"/>
          <w:lang w:val="ru-RU"/>
        </w:rPr>
        <w:t>судейском</w:t>
      </w:r>
      <w:r>
        <w:rPr>
          <w:color w:val="000000"/>
        </w:rPr>
        <w:t xml:space="preserve"> судне на правом конце линии (по ходу дистанции) и вехой с оранжевым флагом на другом ее конце.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bookmarkStart w:id="0" w:name="__RefNumPara__2805_3755468491"/>
      <w:bookmarkEnd w:id="0"/>
      <w:r>
        <w:rPr/>
        <w:t>Яхты, для которых сигнал «Предупреждение» не был дан, должны находиться в стороне от района старта во время стартовой процедуры для других классов. [DP]</w:t>
      </w:r>
      <w:r>
        <w:rPr>
          <w:b w:val="false"/>
          <w:bCs w:val="false"/>
        </w:rPr>
        <w:t>[NP]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До сигнала «Подготовительный» своей стартовой группы яхты должны пройти правым галсом у кормы судна гоночного комитета для регистрации. Яхты, не выполнившие это требование, считаются, как DNC, без рассмотрения. Это изменяет ППГ А4 и А5.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Яхта, не стартовавшая в течение 5 минут после ее сигнала «Старт», считается как DNS без рассмотрения. Это изменяет ППГ А4 и А5.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Изменение следующего участка дистанции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изменения следующего участка дистанции гоночный комитет переместит первоначальный знак (или финишную линию) в другое место.</w:t>
      </w:r>
    </w:p>
    <w:p>
      <w:pPr>
        <w:pStyle w:val="Normal"/>
        <w:numPr>
          <w:ilvl w:val="1"/>
          <w:numId w:val="2"/>
        </w:numPr>
        <w:rPr/>
      </w:pPr>
      <w:r>
        <w:rPr/>
        <w:t>При изменении направления и/или длины участка дистанции будет показан флаг «C» с повторяющимися звуковыми сигналами. Допол</w:t>
        <w:softHyphen/>
        <w:t>ни</w:t>
        <w:softHyphen/>
        <w:t>тельные сигналы не показываются. Это изменяет ППГ 33 (a) (1), (2).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Финиш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/>
        <w:t>Финишной</w:t>
      </w:r>
      <w:r>
        <w:rPr>
          <w:color w:val="000000"/>
        </w:rPr>
        <w:t xml:space="preserve"> линией является линия между шестом с синим флагом на </w:t>
      </w:r>
      <w:r>
        <w:rPr>
          <w:color w:val="000000"/>
          <w:sz w:val="28"/>
          <w:szCs w:val="28"/>
          <w:lang w:val="ru-RU"/>
        </w:rPr>
        <w:t>судейском судне</w:t>
      </w:r>
      <w:r>
        <w:rPr>
          <w:color w:val="000000"/>
        </w:rPr>
        <w:t>, на правом конце линии (по ходу дистанции) и вехой с синим флагом на другом её конце.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Контрольное время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гонке №1 устанавливается абсолютное время закрытия финиша 20:00. Яхты, которые финишируют после этого, будут считаться DNF без рассмотрения. Это изменяет ППГ 35, A4, A5.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 гонках №2, 3 яхты, которые финишируют более, чем через 30 минут после финиша первой яхты класса, прошедшей дистанцию, будут считаться DNF без рассмотрения. Это изменяет ППГ 35, A4, A5.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</w:rPr>
        <w:t>Протесты и требования исправить результат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Протестовые бланки можно получить на судне гоночного комитета в порту базирования:</w:t>
      </w:r>
      <w:r>
        <w:rPr>
          <w:shd w:fill="auto" w:val="clear"/>
        </w:rPr>
        <w:t xml:space="preserve"> </w:t>
      </w:r>
      <w:r>
        <w:rPr>
          <w:shd w:fill="auto" w:val="clear"/>
        </w:rPr>
        <w:t>Санк</w:t>
      </w:r>
      <w:r>
        <w:rPr>
          <w:shd w:fill="auto" w:val="clear"/>
        </w:rPr>
        <w:t>т-Петербургский Речной Яхт-клуб Профсоюзов</w:t>
      </w:r>
      <w:r>
        <w:rPr>
          <w:shd w:fill="auto" w:val="clear"/>
        </w:rPr>
        <w:t>)</w:t>
      </w:r>
      <w:r>
        <w:rPr/>
        <w:t>. Протесты и требования исправить результат или о повторном рассмотрении должны быть поданы в гоночный комитет в течение соответствующего времени подачи протестов.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 xml:space="preserve">Намерение о подаче протеста по </w:t>
      </w:r>
      <w:r>
        <w:rPr>
          <w:sz w:val="28"/>
          <w:szCs w:val="28"/>
          <w:lang w:val="ru-RU"/>
        </w:rPr>
        <w:t>инциденту в зоне гонок</w:t>
      </w:r>
      <w:r>
        <w:rPr/>
        <w:t xml:space="preserve"> должно быть заявлено в ГК протестующей яхтой непосредственно на финише гонки либо сразу после него. В случае невыполнения этого требования протест может быть признан недействительным. Это изменяет ППГ 61.1 (а).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Для всех классов время подачи протестов заканчивается через 60 минут после швартовки судейского судна в гавани.</w:t>
      </w:r>
    </w:p>
    <w:p>
      <w:pPr>
        <w:pStyle w:val="Normal"/>
        <w:numPr>
          <w:ilvl w:val="1"/>
          <w:numId w:val="2"/>
        </w:numPr>
        <w:rPr/>
      </w:pPr>
      <w:r>
        <w:rPr>
          <w:rStyle w:val="FontStyle111"/>
          <w:sz w:val="28"/>
          <w:szCs w:val="28"/>
        </w:rPr>
        <w:t>Извещения будут опубликованы в пределах 15 минут после окончания времени подачи протестов для оповещения спортсменов о рассмотрениях, в которых они являются сторонами или свидетелями. Рассмотрения будут проводиться на борту судейского судна, начиная с времени, указанного в извещении.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rStyle w:val="FontStyle111"/>
          <w:sz w:val="28"/>
          <w:szCs w:val="28"/>
        </w:rPr>
        <w:t>Извещения о протестах гоночного комитета, технического комитета или протестового комитета будут опубликованы для оповещения яхт согласно ППГ 61.1(</w:t>
      </w:r>
      <w:r>
        <w:rPr>
          <w:rStyle w:val="FontStyle111"/>
          <w:sz w:val="28"/>
          <w:szCs w:val="28"/>
          <w:lang w:val="en-US"/>
        </w:rPr>
        <w:t>b</w:t>
      </w:r>
      <w:r>
        <w:rPr>
          <w:rStyle w:val="FontStyle111"/>
          <w:sz w:val="28"/>
          <w:szCs w:val="28"/>
        </w:rPr>
        <w:t>) и п. 2 ГИ.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rStyle w:val="FontStyle111"/>
          <w:b/>
          <w:bCs/>
          <w:sz w:val="28"/>
          <w:szCs w:val="28"/>
        </w:rPr>
        <w:t>Подведение результатов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Соревнование открытое, личное.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В классе «крейсерская яхта ORC» гонки проводятся с гандикапом по системе ORC Rating Rules. Расчет исправленного времени:</w:t>
      </w:r>
    </w:p>
    <w:p>
      <w:pPr>
        <w:pStyle w:val="Normal"/>
        <w:numPr>
          <w:ilvl w:val="2"/>
          <w:numId w:val="2"/>
        </w:numPr>
        <w:rPr/>
      </w:pPr>
      <w:r>
        <w:rPr/>
        <w:t>в гонке №1 по варианту PCS — All Purpose;</w:t>
      </w:r>
    </w:p>
    <w:p>
      <w:pPr>
        <w:pStyle w:val="Normal"/>
        <w:numPr>
          <w:ilvl w:val="2"/>
          <w:numId w:val="2"/>
        </w:numPr>
        <w:rPr/>
      </w:pPr>
      <w:r>
        <w:rPr>
          <w:color w:val="000000"/>
        </w:rPr>
        <w:t xml:space="preserve">в гонках </w:t>
      </w:r>
      <w:r>
        <w:rPr>
          <w:rFonts w:eastAsia="Times New Roman" w:cs="Times New Roman"/>
          <w:szCs w:val="24"/>
          <w:lang w:bidi="ar-SA"/>
        </w:rPr>
        <w:t xml:space="preserve">№ 2, 3 </w:t>
      </w:r>
      <w:r>
        <w:rPr>
          <w:color w:val="000000"/>
        </w:rPr>
        <w:t>по варианту PCS — Constructed Course.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В классах «крейсерская яхта 800», «SB20» гонки проводятся с зачетом по фактическому времени прохождения дистанции.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Подсчет очков производится  в соответствии с приложением А ППГ, со следующими изменениями:</w:t>
      </w:r>
    </w:p>
    <w:p>
      <w:pPr>
        <w:pStyle w:val="Normal"/>
        <w:numPr>
          <w:ilvl w:val="2"/>
          <w:numId w:val="2"/>
        </w:numPr>
        <w:rPr/>
      </w:pPr>
      <w:r>
        <w:rPr>
          <w:color w:val="000000"/>
        </w:rPr>
        <w:t>Очки, присваемые за занятое место, умножаются на коэффициент дистанции:</w:t>
      </w:r>
    </w:p>
    <w:tbl>
      <w:tblPr>
        <w:tblW w:w="5726" w:type="dxa"/>
        <w:jc w:val="left"/>
        <w:tblInd w:w="193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noHBand="0" w:noVBand="1" w:firstColumn="1" w:lastRow="0" w:lastColumn="0" w:firstRow="1"/>
      </w:tblPr>
      <w:tblGrid>
        <w:gridCol w:w="2852"/>
        <w:gridCol w:w="2873"/>
      </w:tblGrid>
      <w:tr>
        <w:trPr/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Гонки</w:t>
            </w:r>
          </w:p>
        </w:tc>
        <w:tc>
          <w:tcPr>
            <w:tcW w:w="2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Коэффициент</w:t>
            </w:r>
          </w:p>
        </w:tc>
      </w:tr>
      <w:tr>
        <w:trPr/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keepNext w:val="true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2, 3</w:t>
            </w:r>
          </w:p>
        </w:tc>
        <w:tc>
          <w:tcPr>
            <w:tcW w:w="28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numPr>
                <w:ilvl w:val="0"/>
                <w:numId w:val="0"/>
              </w:numPr>
              <w:ind w:left="720" w:hanging="0"/>
              <w:jc w:val="center"/>
              <w:rPr/>
            </w:pPr>
            <w:r>
              <w:rPr/>
              <w:t>0,6</w:t>
            </w:r>
          </w:p>
        </w:tc>
      </w:tr>
    </w:tbl>
    <w:p>
      <w:pPr>
        <w:pStyle w:val="Normal"/>
        <w:numPr>
          <w:ilvl w:val="2"/>
          <w:numId w:val="2"/>
        </w:numPr>
        <w:rPr>
          <w:color w:val="000000"/>
        </w:rPr>
      </w:pPr>
      <w:r>
        <w:rPr>
          <w:color w:val="000000"/>
        </w:rPr>
        <w:t>Должно быть проведено 2 гонки, чтобы соревнование считалось состоявшимся.</w:t>
      </w:r>
    </w:p>
    <w:p>
      <w:pPr>
        <w:pStyle w:val="Normal"/>
        <w:numPr>
          <w:ilvl w:val="2"/>
          <w:numId w:val="2"/>
        </w:numPr>
        <w:rPr/>
      </w:pPr>
      <w:r>
        <w:rPr>
          <w:color w:val="000000"/>
        </w:rPr>
        <w:t>Очки яхты будут равны сумме очков, набранных ею в гонках.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bookmarkStart w:id="1" w:name="__RefNumPara__292_3523668927"/>
      <w:bookmarkEnd w:id="1"/>
      <w:r>
        <w:rPr>
          <w:b/>
          <w:bCs/>
          <w:color w:val="000000"/>
        </w:rPr>
        <w:t>Меры безопасности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Яхта, вышедшая из гонки, должна сообщить об этом гоночному комитету как можно скорее. [DP][NP]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>
          <w:color w:val="000000"/>
        </w:rPr>
        <w:t>Все участники соревнований должны соблюдать «Рекомендации по профилактике новой коронавирусной инфекции (COVID-19) в учреждениях физической культуры и спорта» (МР 3.1/2.1.0192-20) и другие постановления. [DP]</w:t>
      </w:r>
      <w:r>
        <w:rPr>
          <w:b w:val="false"/>
          <w:bCs w:val="false"/>
          <w:color w:val="000000"/>
        </w:rPr>
        <w:t>[NP]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Замена оборудования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Замена поврежденного или утерянного оборудования может быть произведена только с разрешения технического комитета. Обратиться с просьбой о замене яхта обязана при первой разумной возможности. [DP]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Проверка оборудования и контрольный обмер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Яхте, находящейся на воде, членом гоночного комитета или технического комитета может быть дано указание немедленно следовать в определенное место для проверки.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bookmarkStart w:id="2" w:name="__RefNumPara__301_3523668927"/>
      <w:bookmarkEnd w:id="2"/>
      <w:r>
        <w:rPr>
          <w:b/>
          <w:bCs/>
          <w:color w:val="000000"/>
        </w:rPr>
        <w:t>Реклама соревнования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Яхты могут быть обязаны нести рекламу, выбранную и предоставленную проводящей организацией. В случае нарушения этого правила применяется Регламент 20.9.2 World Sailing. [DP]</w:t>
      </w:r>
      <w:r>
        <w:rPr>
          <w:b w:val="false"/>
          <w:bCs w:val="false"/>
          <w:color w:val="000000"/>
        </w:rPr>
        <w:t>[NP]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Официальные суда</w:t>
      </w:r>
    </w:p>
    <w:p>
      <w:pPr>
        <w:pStyle w:val="Normal"/>
        <w:numPr>
          <w:ilvl w:val="0"/>
          <w:numId w:val="0"/>
        </w:numPr>
        <w:ind w:left="720" w:hanging="0"/>
        <w:rPr>
          <w:shd w:fill="auto" w:val="clear"/>
        </w:rPr>
      </w:pPr>
      <w:r>
        <w:rPr>
          <w:color w:val="000000"/>
          <w:shd w:fill="auto" w:val="clear"/>
        </w:rPr>
        <w:t>Судейские суда: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spacing w:before="0" w:after="0"/>
        <w:jc w:val="both"/>
        <w:rPr>
          <w:shd w:fill="auto" w:val="clear"/>
        </w:rPr>
      </w:pPr>
      <w:r>
        <w:rPr>
          <w:color w:val="000000"/>
          <w:shd w:fill="auto" w:val="clear"/>
        </w:rPr>
        <w:t>Катер «Argo»,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spacing w:before="0" w:after="0"/>
        <w:jc w:val="both"/>
        <w:rPr>
          <w:shd w:fill="auto" w:val="clear"/>
        </w:rPr>
      </w:pPr>
      <w:r>
        <w:rPr>
          <w:color w:val="000000"/>
          <w:shd w:fill="auto" w:val="clear"/>
        </w:rPr>
        <w:t>Яхта «Новелла»,</w:t>
      </w:r>
    </w:p>
    <w:p>
      <w:pPr>
        <w:pStyle w:val="Normal"/>
        <w:widowControl/>
        <w:numPr>
          <w:ilvl w:val="2"/>
          <w:numId w:val="2"/>
        </w:numPr>
        <w:suppressAutoHyphens w:val="true"/>
        <w:bidi w:val="0"/>
        <w:spacing w:before="0" w:after="0"/>
        <w:jc w:val="both"/>
        <w:rPr>
          <w:shd w:fill="auto" w:val="clear"/>
        </w:rPr>
      </w:pPr>
      <w:r>
        <w:rPr>
          <w:color w:val="000000"/>
          <w:shd w:fill="auto" w:val="clear"/>
        </w:rPr>
        <w:t>Жестко - надувной катер (</w:t>
      </w:r>
      <w:r>
        <w:rPr>
          <w:color w:val="000000"/>
          <w:shd w:fill="auto" w:val="clear"/>
          <w:lang w:val="en-US"/>
        </w:rPr>
        <w:t>RIB</w:t>
      </w:r>
      <w:r>
        <w:rPr>
          <w:color w:val="000000"/>
          <w:shd w:fill="auto" w:val="clear"/>
        </w:rPr>
        <w:t>).</w:t>
      </w:r>
    </w:p>
    <w:p>
      <w:pPr>
        <w:pStyle w:val="Normal"/>
        <w:keepNext w:val="true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Радиосвязь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color w:val="000000"/>
        </w:rPr>
        <w:t>Любая яхта может, не нарушая ППГ 41 «Посторонняя помощь», запрашивать или получать повторную информацию о радиопередачах ГК.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</w:rPr>
      </w:pPr>
      <w:r>
        <w:rPr>
          <w:b/>
          <w:bCs/>
          <w:color w:val="000000"/>
        </w:rPr>
        <w:t>Призы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Победители и призеры соревнования (экипажи, занявшие 1 – 3 места) в каждом классе награждаются медалями, дипломами и памятными призами.</w:t>
      </w:r>
    </w:p>
    <w:p>
      <w:pPr>
        <w:pStyle w:val="Normal"/>
        <w:numPr>
          <w:ilvl w:val="1"/>
          <w:numId w:val="2"/>
        </w:numPr>
        <w:rPr/>
      </w:pPr>
      <w:r>
        <w:rPr>
          <w:color w:val="000000"/>
        </w:rPr>
        <w:t>Организаторы соревнований могут учредить дополнительные призы, информация о которых будет опубликована дополнительно.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Отказ от ответственности</w:t>
      </w:r>
    </w:p>
    <w:p>
      <w:pPr>
        <w:pStyle w:val="Normal"/>
        <w:numPr>
          <w:ilvl w:val="0"/>
          <w:numId w:val="0"/>
        </w:numPr>
        <w:ind w:left="720" w:hanging="0"/>
        <w:rPr>
          <w:b/>
          <w:b/>
          <w:bCs/>
        </w:rPr>
      </w:pPr>
      <w:r>
        <w:rPr>
          <w:color w:val="000000"/>
        </w:rPr>
        <w:t>Спортсмены принимают участие в соревновании полностью на свой страх и риск. См. ППГ 3 «Решение участвовать в гонке». Проводящая организация, организации, содействующие проведению гонки, и судейская коллегия, как таковые, не принимают на себя ответственность за материальный ущерб или случаи травм, либо смерти, произошедшие в связи с соревнованием или до него, или после него.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spacing w:before="120" w:after="0"/>
        <w:ind w:left="714" w:hanging="357"/>
        <w:rPr>
          <w:b/>
          <w:b/>
          <w:bCs/>
          <w:color w:val="000000"/>
        </w:rPr>
      </w:pPr>
      <w:r>
        <w:rPr>
          <w:b/>
          <w:bCs/>
          <w:color w:val="000000"/>
        </w:rPr>
        <w:t>Страховка</w:t>
      </w:r>
    </w:p>
    <w:p>
      <w:pPr>
        <w:pStyle w:val="Normal"/>
        <w:numPr>
          <w:ilvl w:val="1"/>
          <w:numId w:val="2"/>
        </w:numPr>
        <w:rPr/>
      </w:pPr>
      <w:r>
        <w:rPr/>
        <w:t xml:space="preserve">Каждая яхта, участвующая в соревновании, должна иметь действующий страховой полис «Ответственность перед третьими лицами» с лимитом ответственности за причинение вреда имуществу третьих лиц от 1 000 000 (один миллион) рублей. </w:t>
      </w:r>
    </w:p>
    <w:p>
      <w:pPr>
        <w:pStyle w:val="Normal"/>
        <w:numPr>
          <w:ilvl w:val="1"/>
          <w:numId w:val="2"/>
        </w:numPr>
        <w:rPr>
          <w:b/>
          <w:b/>
          <w:bCs/>
        </w:rPr>
      </w:pPr>
      <w:r>
        <w:rPr/>
        <w:t>Всем участникам соревнования рекомендуется быть застрахованными от несчастного случая в соответствии с Положением о страховании яхт и участников соревнований ВФПС на 2020 г. на сумму не менее 100 000 (сто тысяч) рублей. [NP]</w:t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right="-427" w:hanging="0"/>
        <w:rPr/>
      </w:pPr>
      <w:r>
        <w:rPr/>
        <w:t>Председатель Гоночного Комитета</w:t>
      </w:r>
    </w:p>
    <w:p>
      <w:pPr>
        <w:pStyle w:val="Normal"/>
        <w:numPr>
          <w:ilvl w:val="0"/>
          <w:numId w:val="0"/>
        </w:numPr>
        <w:ind w:left="0" w:right="-427" w:hanging="0"/>
        <w:jc w:val="right"/>
        <w:rPr>
          <w:b/>
          <w:b/>
          <w:bCs/>
        </w:rPr>
      </w:pPr>
      <w:r>
        <w:rPr>
          <w:b/>
          <w:bCs/>
          <w:sz w:val="22"/>
          <w:szCs w:val="22"/>
        </w:rPr>
        <w:t>______________________________</w:t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Соревнование по парусному спорту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«Малый кубок Ассоциации класса </w:t>
      </w:r>
      <w:r>
        <w:rPr>
          <w:b/>
          <w:bCs/>
          <w:sz w:val="36"/>
          <w:szCs w:val="36"/>
          <w:lang w:val="en-US"/>
        </w:rPr>
        <w:t>ORC</w:t>
      </w:r>
      <w:r>
        <w:rPr>
          <w:b/>
          <w:bCs/>
          <w:sz w:val="36"/>
          <w:szCs w:val="36"/>
        </w:rPr>
        <w:t xml:space="preserve"> Северо-Запад»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 июля – 2 августа 2021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sz w:val="36"/>
          <w:szCs w:val="36"/>
        </w:rPr>
        <w:t>Приложение 1</w:t>
      </w:r>
    </w:p>
    <w:p>
      <w:pPr>
        <w:pStyle w:val="TextBody"/>
        <w:numPr>
          <w:ilvl w:val="0"/>
          <w:numId w:val="0"/>
        </w:numPr>
        <w:ind w:left="0" w:hanging="0"/>
        <w:jc w:val="center"/>
        <w:rPr>
          <w:b/>
          <w:b/>
          <w:bCs/>
        </w:rPr>
      </w:pPr>
      <w:r>
        <w:rPr>
          <w:rStyle w:val="StrongEmphasis"/>
          <w:sz w:val="32"/>
          <w:szCs w:val="32"/>
        </w:rPr>
        <w:t>Инструкция по контрольному обмеру</w:t>
      </w:r>
    </w:p>
    <w:p>
      <w:pPr>
        <w:pStyle w:val="Normal"/>
        <w:numPr>
          <w:ilvl w:val="0"/>
          <w:numId w:val="6"/>
        </w:numPr>
        <w:rPr/>
      </w:pPr>
      <w:r>
        <w:rPr>
          <w:rStyle w:val="StrongEmphasis"/>
          <w:b w:val="false"/>
          <w:bCs w:val="false"/>
        </w:rPr>
        <w:t>Любая яхта может быть осмотрена и обмерена как до, так и после любой гонки вплоть до окончания соревнований.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/>
      </w:pPr>
      <w:r>
        <w:rPr>
          <w:rStyle w:val="StrongEmphasis"/>
          <w:b w:val="false"/>
          <w:bCs w:val="false"/>
        </w:rPr>
        <w:t>Яхты участвующие в соревнованиях должны соответствовать:</w:t>
      </w:r>
    </w:p>
    <w:p>
      <w:pPr>
        <w:pStyle w:val="Normal"/>
        <w:numPr>
          <w:ilvl w:val="2"/>
          <w:numId w:val="2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Специальным правилам World Sailing для морских гонок 2020 – 2021,</w:t>
      </w:r>
      <w:r>
        <w:rPr>
          <w:rStyle w:val="StrongEmphasis"/>
        </w:rPr>
        <w:t xml:space="preserve"> </w:t>
      </w:r>
      <w:r>
        <w:rPr>
          <w:rStyle w:val="StrongEmphasis"/>
          <w:b w:val="false"/>
          <w:bCs w:val="false"/>
        </w:rPr>
        <w:t>5 категории,</w:t>
      </w:r>
    </w:p>
    <w:p>
      <w:pPr>
        <w:pStyle w:val="Normal"/>
        <w:numPr>
          <w:ilvl w:val="2"/>
          <w:numId w:val="2"/>
        </w:numPr>
        <w:rPr/>
      </w:pPr>
      <w:r>
        <w:rPr>
          <w:rStyle w:val="StrongEmphasis"/>
          <w:b w:val="false"/>
          <w:bCs w:val="false"/>
        </w:rPr>
        <w:t>Правилам Международной системы обмера IMS (International Measurement System),</w:t>
      </w:r>
    </w:p>
    <w:p>
      <w:pPr>
        <w:pStyle w:val="Normal"/>
        <w:numPr>
          <w:ilvl w:val="2"/>
          <w:numId w:val="2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Системы рейтинга Конгресса по морским гонкам (ORC Rating Systems) (для яхт класса «крейсерская яхта ORC»),</w:t>
      </w:r>
    </w:p>
    <w:p>
      <w:pPr>
        <w:pStyle w:val="Normal"/>
        <w:numPr>
          <w:ilvl w:val="2"/>
          <w:numId w:val="2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класса OPEN 800 (для яхт класса «крейсерская яхта 800»),</w:t>
      </w:r>
    </w:p>
    <w:p>
      <w:pPr>
        <w:pStyle w:val="Normal"/>
        <w:numPr>
          <w:ilvl w:val="2"/>
          <w:numId w:val="2"/>
        </w:numPr>
        <w:rPr>
          <w:b/>
          <w:b/>
          <w:bCs/>
        </w:rPr>
      </w:pPr>
      <w:r>
        <w:rPr>
          <w:rStyle w:val="StrongEmphasis"/>
          <w:b w:val="false"/>
          <w:bCs w:val="false"/>
        </w:rPr>
        <w:t>Правилам класса SB20 (для яхт класса «SB20»).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/>
      </w:pPr>
      <w:r>
        <w:rPr>
          <w:rStyle w:val="StrongEmphasis"/>
          <w:b w:val="false"/>
          <w:bCs w:val="false"/>
        </w:rPr>
        <w:t>Выборочный контрольный обмер будет проводиться во время промежуточных стоянок. Яхты, которые должны будут пройти обмер, будут извещаться об этом по радио на финише и через распоряжения технического комитета, вывешиваемые на доске объявлений.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/>
      </w:pPr>
      <w:r>
        <w:rPr>
          <w:rStyle w:val="StrongEmphasis"/>
          <w:b w:val="false"/>
          <w:bCs w:val="false"/>
        </w:rPr>
        <w:t>Объем контрольного осмотра будет определяться распоряжением мерительного комитета.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/>
      </w:pPr>
      <w:r>
        <w:rPr>
          <w:rStyle w:val="StrongEmphasis"/>
          <w:b w:val="false"/>
          <w:bCs w:val="false"/>
        </w:rPr>
        <w:t>При обнаружении существенных отклонений от Правил срок представления яхты для повторного обмера (осмотра) будет определяться распоряжением технического комитета.</w:t>
      </w:r>
    </w:p>
    <w:p>
      <w:pPr>
        <w:pStyle w:val="Normal"/>
        <w:numPr>
          <w:ilvl w:val="0"/>
          <w:numId w:val="2"/>
        </w:numPr>
        <w:tabs>
          <w:tab w:val="left" w:pos="490" w:leader="none"/>
          <w:tab w:val="left" w:pos="720" w:leader="none"/>
        </w:tabs>
        <w:rPr>
          <w:b/>
          <w:b/>
          <w:bCs/>
        </w:rPr>
      </w:pPr>
      <w:r>
        <w:rPr>
          <w:rStyle w:val="StrongEmphasis"/>
          <w:b w:val="false"/>
          <w:bCs w:val="false"/>
        </w:rPr>
        <w:t>В случае необходимости замены заявленного оборудования и парусов капитан должен обратиться в технический комитет с письменным заявлением до старта гонки</w:t>
      </w:r>
      <w:r>
        <w:rPr>
          <w:rStyle w:val="StrongEmphasis"/>
        </w:rPr>
        <w:t xml:space="preserve">. </w:t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Соревнование по парусному спорту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«Малый кубок Ассоциации класса </w:t>
      </w:r>
      <w:r>
        <w:rPr>
          <w:b/>
          <w:bCs/>
          <w:sz w:val="36"/>
          <w:szCs w:val="36"/>
          <w:lang w:val="en-US"/>
        </w:rPr>
        <w:t>ORC</w:t>
      </w:r>
      <w:r>
        <w:rPr>
          <w:b/>
          <w:bCs/>
          <w:sz w:val="36"/>
          <w:szCs w:val="36"/>
        </w:rPr>
        <w:t xml:space="preserve"> Северо-Запад»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27 июля – 2 августа 2021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Приложение 2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Дистанция и зона гонки №1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Приблизительные координаты старта, финиша — 59°57.3´N, 030°06.7´E.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Знаки дистанции: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Карантинный буй (59°55,7´ N 029°59,1´E),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Надувной оранжевый буй к югу от о. Верпелуда (приблизительно 59°58,7´N 029°59,9´E),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Южный буй Военного угла (59°58,1´N 029°47,4´E),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Северный буй Банки Каменная (59°56,4´N 029°55,9´E),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Красный буй пары буев Северного Кронштадтского фарватера (59˚58,705′</w:t>
      </w:r>
      <w:r>
        <w:rPr>
          <w:lang w:val="en-US"/>
        </w:rPr>
        <w:t>N</w:t>
      </w:r>
      <w:r>
        <w:rPr/>
        <w:t xml:space="preserve"> 029˚51,617′</w:t>
      </w:r>
      <w:r>
        <w:rPr>
          <w:lang w:val="en-US"/>
        </w:rPr>
        <w:t>E</w:t>
      </w:r>
      <w:r>
        <w:rPr/>
        <w:t>).</w:t>
      </w:r>
    </w:p>
    <w:p>
      <w:pPr>
        <w:pStyle w:val="Normal"/>
        <w:numPr>
          <w:ilvl w:val="0"/>
          <w:numId w:val="4"/>
        </w:numPr>
        <w:ind w:left="567" w:hanging="340"/>
        <w:jc w:val="left"/>
        <w:rPr/>
      </w:pPr>
      <w:r>
        <w:rPr/>
        <w:t>Надувной буй в месте старта.</w:t>
      </w:r>
    </w:p>
    <w:p>
      <w:pPr>
        <w:pStyle w:val="Normal"/>
        <w:numPr>
          <w:ilvl w:val="0"/>
          <w:numId w:val="0"/>
        </w:numPr>
        <w:ind w:left="567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 xml:space="preserve">При необходимости ГК может выставить дополнительный оттяжной знак — надувной оранжевый буй на расстоянии примерно 0,5 мили от старта против ветра. В этом случае на стартовом судне поднимается </w:t>
      </w:r>
      <w:r>
        <w:rPr>
          <w:b/>
          <w:bCs/>
          <w:u w:val="single"/>
        </w:rPr>
        <w:t>зеленый</w:t>
      </w:r>
      <w:r>
        <w:rPr/>
        <w:t xml:space="preserve"> или </w:t>
      </w:r>
      <w:r>
        <w:rPr>
          <w:b/>
          <w:bCs/>
          <w:u w:val="single"/>
        </w:rPr>
        <w:t>красный</w:t>
      </w:r>
      <w:r>
        <w:rPr/>
        <w:t xml:space="preserve"> флаг. </w:t>
      </w:r>
      <w:r>
        <w:rPr>
          <w:b/>
          <w:bCs/>
          <w:u w:val="single"/>
        </w:rPr>
        <w:t>Зеленый флаг</w:t>
      </w:r>
      <w:r>
        <w:rPr/>
        <w:t xml:space="preserve"> означает, что оттяжной знак следует огибать </w:t>
      </w:r>
      <w:r>
        <w:rPr>
          <w:b/>
          <w:bCs/>
          <w:u w:val="single"/>
        </w:rPr>
        <w:t>правым бортом</w:t>
      </w:r>
      <w:r>
        <w:rPr/>
        <w:t xml:space="preserve">, </w:t>
      </w:r>
      <w:r>
        <w:rPr>
          <w:b/>
          <w:bCs/>
          <w:u w:val="single"/>
        </w:rPr>
        <w:t>красный</w:t>
      </w:r>
      <w:r>
        <w:rPr/>
        <w:t xml:space="preserve"> — что его следует огибать </w:t>
      </w:r>
      <w:r>
        <w:rPr>
          <w:b/>
          <w:bCs/>
          <w:u w:val="single"/>
        </w:rPr>
        <w:t>левым бортом</w:t>
      </w:r>
      <w:r>
        <w:rPr/>
        <w:t>.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Дистанция 1 (цифровой вымпел «1»), порядок прохождения: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ab/>
        <w:t>Старт — (оттяжной буй, если выставлен) — Знак 1 (ПрБ) — Знак 2 (ЛБ) — Знак 3 (ЛБ) — Знак 4 (ЛБ) — Знак 5 (ПрБ) — Знак 6 (ЛБ) — Знак 2 (ЛБ) — Знак 1 (ЛБ) — Финиш</w:t>
      </w:r>
    </w:p>
    <w:p>
      <w:pPr>
        <w:pStyle w:val="Normal"/>
        <w:numPr>
          <w:ilvl w:val="0"/>
          <w:numId w:val="0"/>
        </w:numPr>
        <w:ind w:left="0" w:hanging="0"/>
        <w:jc w:val="left"/>
        <w:rPr>
          <w:rStyle w:val="StrongEmphasis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>Дистанция 2 (цифровой вымпел «2»), порядок прохождения: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tab/>
        <w:t>Старт — (оттяжной буй, если выставлен) — Знак 5 (ЛБ) — Знак 4 (ПрБ) — Знак 3 (ПрБ) — Знак 2 (ПрБ) — Знак 1 (ЛБ) — Знак 6 (ЛБ) — Знак 1 (ПрБ) — Знак 2 (ПрБ) — Финиш</w:t>
      </w:r>
    </w:p>
    <w:p>
      <w:pPr>
        <w:pStyle w:val="Normal"/>
        <w:numPr>
          <w:ilvl w:val="0"/>
          <w:numId w:val="0"/>
        </w:numPr>
        <w:ind w:lef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113030</wp:posOffset>
            </wp:positionH>
            <wp:positionV relativeFrom="paragraph">
              <wp:posOffset>127635</wp:posOffset>
            </wp:positionV>
            <wp:extent cx="4138295" cy="23279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  <w:sz w:val="36"/>
          <w:szCs w:val="36"/>
        </w:rPr>
        <w:t>Соревнование по парусному спорту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«Малый кубок Ассоциации класса </w:t>
      </w:r>
      <w:r>
        <w:rPr>
          <w:b/>
          <w:bCs/>
          <w:sz w:val="36"/>
          <w:szCs w:val="36"/>
          <w:lang w:val="en-US"/>
        </w:rPr>
        <w:t>ORC</w:t>
      </w:r>
      <w:r>
        <w:rPr>
          <w:b/>
          <w:bCs/>
          <w:sz w:val="36"/>
          <w:szCs w:val="36"/>
        </w:rPr>
        <w:t xml:space="preserve"> Северо-Запад»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27 июля – 2 августа 2021 г.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Приложение 3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Дистанция гонок №2, 3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rStyle w:val="StrongEmphasis"/>
        </w:rPr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rPr/>
      </w:pPr>
      <w:r>
        <w:rPr>
          <w:rStyle w:val="StrongEmphasis"/>
          <w:sz w:val="36"/>
          <w:szCs w:val="36"/>
        </w:rPr>
        <w:t>Порядок прохождения: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</w:rPr>
      </w:pPr>
      <w:r>
        <w:rPr>
          <w:rStyle w:val="StrongEmphasis"/>
          <w:bCs w:val="false"/>
          <w:sz w:val="36"/>
          <w:szCs w:val="36"/>
        </w:rPr>
        <w:t>Старт — 1 — 1</w:t>
      </w:r>
      <w:r>
        <w:rPr>
          <w:rStyle w:val="StrongEmphasis"/>
          <w:bCs w:val="false"/>
          <w:sz w:val="36"/>
          <w:szCs w:val="36"/>
          <w:lang w:val="en-US"/>
        </w:rPr>
        <w:t>a</w:t>
      </w:r>
      <w:r>
        <w:rPr>
          <w:rStyle w:val="StrongEmphasis"/>
          <w:bCs w:val="false"/>
          <w:sz w:val="36"/>
          <w:szCs w:val="36"/>
        </w:rPr>
        <w:t xml:space="preserve"> — 2</w:t>
      </w:r>
      <w:r>
        <w:rPr>
          <w:rStyle w:val="StrongEmphasis"/>
          <w:bCs w:val="false"/>
          <w:sz w:val="36"/>
          <w:szCs w:val="36"/>
          <w:lang w:val="en-US"/>
        </w:rPr>
        <w:t>s</w:t>
      </w:r>
      <w:r>
        <w:rPr>
          <w:rStyle w:val="StrongEmphasis"/>
          <w:bCs w:val="false"/>
          <w:sz w:val="36"/>
          <w:szCs w:val="36"/>
        </w:rPr>
        <w:t>(2</w:t>
      </w:r>
      <w:r>
        <w:rPr>
          <w:rStyle w:val="StrongEmphasis"/>
          <w:bCs w:val="false"/>
          <w:sz w:val="36"/>
          <w:szCs w:val="36"/>
          <w:lang w:val="en-US"/>
        </w:rPr>
        <w:t>p</w:t>
      </w:r>
      <w:r>
        <w:rPr>
          <w:rStyle w:val="StrongEmphasis"/>
          <w:bCs w:val="false"/>
          <w:sz w:val="36"/>
          <w:szCs w:val="36"/>
        </w:rPr>
        <w:t>) — 1 — 1</w:t>
      </w:r>
      <w:r>
        <w:rPr>
          <w:rStyle w:val="StrongEmphasis"/>
          <w:bCs w:val="false"/>
          <w:sz w:val="36"/>
          <w:szCs w:val="36"/>
          <w:lang w:val="en-US"/>
        </w:rPr>
        <w:t>a</w:t>
      </w:r>
      <w:r>
        <w:rPr>
          <w:rStyle w:val="StrongEmphasis"/>
          <w:bCs w:val="false"/>
          <w:sz w:val="36"/>
          <w:szCs w:val="36"/>
        </w:rPr>
        <w:t xml:space="preserve"> — Финиш</w:t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</w:rPr>
      </w:pPr>
      <w:r>
        <w:rPr>
          <w:b/>
          <w:bCs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1377950</wp:posOffset>
            </wp:positionH>
            <wp:positionV relativeFrom="paragraph">
              <wp:posOffset>82550</wp:posOffset>
            </wp:positionV>
            <wp:extent cx="4047490" cy="656209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656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left="0" w:hanging="0"/>
        <w:jc w:val="center"/>
        <w:rPr>
          <w:b/>
          <w:b/>
          <w:bCs/>
          <w:shd w:fill="FFFF00" w:val="clear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2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8"/>
        <w:i w:val="false"/>
        <w:b/>
        <w:szCs w:val="28"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 w:val="false"/>
        <w:bCs w:val="false"/>
        <w:rFonts w:cs="Times New Roman"/>
      </w:r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57"/>
      </w:pPr>
      <w:rPr>
        <w:sz w:val="28"/>
        <w:i w:val="false"/>
        <w:b/>
        <w:szCs w:val="28"/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357"/>
      </w:pPr>
      <w:rPr>
        <w:b w:val="false"/>
        <w:bCs w:val="false"/>
        <w:rFonts w:cs="Times New Roman"/>
      </w:rPr>
    </w:lvl>
    <w:lvl w:ilvl="2">
      <w:start w:val="1"/>
      <w:numFmt w:val="bullet"/>
      <w:suff w:val="space"/>
      <w:lvlText w:val="—"/>
      <w:lvlJc w:val="left"/>
      <w:pPr>
        <w:tabs>
          <w:tab w:val="num" w:pos="0"/>
        </w:tabs>
        <w:ind w:left="1100" w:hanging="3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sz w:val="24"/>
        <w:i w:val="false"/>
        <w:b/>
        <w:rFonts w:ascii="Arial" w:hAnsi="Arial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z w:val="24"/>
        <w:i w:val="false"/>
        <w:b/>
        <w:rFonts w:ascii="Arial" w:hAnsi="Aria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rFonts w:cs="Times New Roman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i w:val="false"/>
        <w:b/>
        <w:szCs w:val="28"/>
        <w:rFonts w:ascii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357"/>
      </w:pPr>
      <w:rPr>
        <w:b w:val="false"/>
        <w:bCs w:val="false"/>
        <w:rFonts w:cs="Times New Roman"/>
      </w:rPr>
    </w:lvl>
    <w:lvl w:ilvl="2">
      <w:start w:val="1"/>
      <w:numFmt w:val="bullet"/>
      <w:suff w:val="space"/>
      <w:lvlText w:val="—"/>
      <w:lvlJc w:val="left"/>
      <w:pPr>
        <w:tabs>
          <w:tab w:val="num" w:pos="0"/>
        </w:tabs>
        <w:ind w:left="1100" w:hanging="3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sz w:val="28"/>
          <w:i w:val="false"/>
          <w:b/>
          <w:szCs w:val="28"/>
          <w:rFonts w:ascii="Times New Roman" w:hAnsi="Times New Roman" w:cs="Times New Roman"/>
        </w:rPr>
      </w:lvl>
      <w:startOverride w:val="1"/>
    </w:lvlOverride>
    <w:lvlOverride w:ilvl="2">
      <w:lvl w:ilvl="2">
        <w:start w:val="1"/>
        <w:numFmt w:val="bullet"/>
        <w:suff w:val="space"/>
        <w:lvlText w:val="—"/>
        <w:lvlJc w:val="left"/>
        <w:pPr>
          <w:tabs>
            <w:tab w:val="num" w:pos="0"/>
          </w:tabs>
          <w:ind w:left="1100" w:hanging="38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09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FreeSan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numPr>
        <w:ilvl w:val="0"/>
        <w:numId w:val="2"/>
      </w:numPr>
      <w:tabs>
        <w:tab w:val="clear" w:pos="709"/>
        <w:tab w:val="left" w:pos="490" w:leader="none"/>
      </w:tabs>
      <w:suppressAutoHyphens w:val="true"/>
      <w:bidi w:val="0"/>
      <w:spacing w:before="0" w:after="0"/>
      <w:jc w:val="both"/>
    </w:pPr>
    <w:rPr>
      <w:rFonts w:ascii="Times New Roman" w:hAnsi="Times New Roman" w:eastAsia="Bitstream Vera Sans" w:cs="FreeSans"/>
      <w:color w:val="auto"/>
      <w:kern w:val="2"/>
      <w:sz w:val="28"/>
      <w:szCs w:val="28"/>
      <w:lang w:val="ru-RU" w:eastAsia="zh-CN" w:bidi="hi-IN"/>
    </w:rPr>
  </w:style>
  <w:style w:type="paragraph" w:styleId="Heading2">
    <w:name w:val="Heading 2"/>
    <w:basedOn w:val="List"/>
    <w:qFormat/>
    <w:rsid w:val="00342030"/>
    <w:pPr>
      <w:keepNext w:val="true"/>
      <w:numPr>
        <w:ilvl w:val="0"/>
        <w:numId w:val="1"/>
      </w:numPr>
      <w:tabs>
        <w:tab w:val="clear" w:pos="490"/>
        <w:tab w:val="left" w:pos="360" w:leader="none"/>
      </w:tabs>
      <w:spacing w:lineRule="auto" w:line="360" w:before="120" w:after="60"/>
      <w:ind w:left="360" w:hanging="360"/>
      <w:outlineLvl w:val="0"/>
    </w:pPr>
    <w:rPr>
      <w:rFonts w:eastAsia="Times New Roman"/>
      <w:b/>
      <w:bCs/>
      <w:iCs/>
      <w:lang w:val="x-none" w:eastAsia="x-none"/>
    </w:rPr>
  </w:style>
  <w:style w:type="paragraph" w:styleId="Heading7">
    <w:name w:val="Heading 7"/>
    <w:basedOn w:val="Normal"/>
    <w:next w:val="Normal"/>
    <w:qFormat/>
    <w:rsid w:val="00342030"/>
    <w:pPr>
      <w:numPr>
        <w:ilvl w:val="6"/>
        <w:numId w:val="1"/>
      </w:numPr>
      <w:spacing w:before="240" w:after="60"/>
      <w:ind w:left="720" w:hanging="720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qFormat/>
    <w:rsid w:val="00342030"/>
    <w:pPr>
      <w:numPr>
        <w:ilvl w:val="7"/>
        <w:numId w:val="1"/>
      </w:numPr>
      <w:spacing w:before="240" w:after="60"/>
      <w:ind w:left="720" w:hanging="720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qFormat/>
    <w:rsid w:val="00342030"/>
    <w:pPr>
      <w:numPr>
        <w:ilvl w:val="8"/>
        <w:numId w:val="1"/>
      </w:numPr>
      <w:spacing w:before="240" w:after="60"/>
      <w:ind w:left="720" w:hanging="720"/>
      <w:outlineLvl w:val="8"/>
    </w:pPr>
    <w:rPr>
      <w:rFonts w:ascii="Cambria" w:hAnsi="Cambria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FontStyle111" w:customStyle="1">
    <w:name w:val="Font Style111"/>
    <w:qFormat/>
    <w:rPr>
      <w:rFonts w:ascii="Times New Roman" w:hAnsi="Times New Roman" w:cs="Times New Roman"/>
      <w:sz w:val="16"/>
      <w:szCs w:val="16"/>
    </w:rPr>
  </w:style>
  <w:style w:type="character" w:styleId="StrongEmphasis" w:customStyle="1">
    <w:name w:val="Strong Emphasis"/>
    <w:qFormat/>
    <w:rPr>
      <w:b/>
      <w:bCs/>
    </w:rPr>
  </w:style>
  <w:style w:type="character" w:styleId="NumberingSymbols" w:customStyle="1">
    <w:name w:val="Numbering Symbols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MainIndexEntry" w:customStyle="1">
    <w:name w:val="Main Index Entry"/>
    <w:qFormat/>
    <w:rPr>
      <w:b/>
      <w:bCs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342030"/>
    <w:rPr>
      <w:rFonts w:ascii="Tahoma" w:hAnsi="Tahoma" w:cs="Mangal"/>
      <w:sz w:val="16"/>
      <w:szCs w:val="14"/>
      <w:lang w:val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42030"/>
    <w:rPr>
      <w:sz w:val="16"/>
      <w:szCs w:val="16"/>
    </w:rPr>
  </w:style>
  <w:style w:type="character" w:styleId="Style11" w:customStyle="1">
    <w:name w:val="Текст примечания Знак"/>
    <w:basedOn w:val="DefaultParagraphFont"/>
    <w:uiPriority w:val="99"/>
    <w:semiHidden/>
    <w:qFormat/>
    <w:rsid w:val="00342030"/>
    <w:rPr>
      <w:rFonts w:ascii="Times New Roman" w:hAnsi="Times New Roman" w:cs="Mangal"/>
      <w:sz w:val="20"/>
      <w:szCs w:val="18"/>
      <w:lang w:val="ru-RU"/>
    </w:rPr>
  </w:style>
  <w:style w:type="character" w:styleId="Style12" w:customStyle="1">
    <w:name w:val="Тема примечания Знак"/>
    <w:basedOn w:val="Style11"/>
    <w:uiPriority w:val="99"/>
    <w:semiHidden/>
    <w:qFormat/>
    <w:rsid w:val="00342030"/>
    <w:rPr>
      <w:rFonts w:ascii="Times New Roman" w:hAnsi="Times New Roman" w:cs="Mangal"/>
      <w:b/>
      <w:bCs/>
      <w:sz w:val="20"/>
      <w:szCs w:val="18"/>
      <w:lang w:val="ru-RU"/>
    </w:rPr>
  </w:style>
  <w:style w:type="character" w:styleId="2" w:customStyle="1">
    <w:name w:val="Заголовок 2 Знак"/>
    <w:basedOn w:val="DefaultParagraphFont"/>
    <w:link w:val="20"/>
    <w:qFormat/>
    <w:rsid w:val="00342030"/>
    <w:rPr>
      <w:rFonts w:ascii="Times New Roman" w:hAnsi="Times New Roman" w:eastAsia="Times New Roman"/>
      <w:b/>
      <w:bCs/>
      <w:iCs/>
      <w:sz w:val="28"/>
      <w:szCs w:val="28"/>
      <w:lang w:val="x-none" w:eastAsia="x-none"/>
    </w:rPr>
  </w:style>
  <w:style w:type="character" w:styleId="7" w:customStyle="1">
    <w:name w:val="Заголовок 7 Знак"/>
    <w:basedOn w:val="DefaultParagraphFont"/>
    <w:link w:val="70"/>
    <w:qFormat/>
    <w:rsid w:val="00342030"/>
    <w:rPr>
      <w:rFonts w:ascii="Calibri" w:hAnsi="Calibri"/>
      <w:sz w:val="28"/>
      <w:szCs w:val="28"/>
      <w:lang w:val="ru-RU" w:eastAsia="en-US"/>
    </w:rPr>
  </w:style>
  <w:style w:type="character" w:styleId="8" w:customStyle="1">
    <w:name w:val="Заголовок 8 Знак"/>
    <w:basedOn w:val="DefaultParagraphFont"/>
    <w:link w:val="80"/>
    <w:qFormat/>
    <w:rsid w:val="00342030"/>
    <w:rPr>
      <w:rFonts w:ascii="Calibri" w:hAnsi="Calibri"/>
      <w:i/>
      <w:iCs/>
      <w:sz w:val="28"/>
      <w:szCs w:val="28"/>
      <w:lang w:val="ru-RU" w:eastAsia="en-US"/>
    </w:rPr>
  </w:style>
  <w:style w:type="character" w:styleId="9" w:customStyle="1">
    <w:name w:val="Заголовок 9 Знак"/>
    <w:basedOn w:val="DefaultParagraphFont"/>
    <w:link w:val="90"/>
    <w:qFormat/>
    <w:rsid w:val="00342030"/>
    <w:rPr>
      <w:rFonts w:ascii="Cambria" w:hAnsi="Cambria"/>
      <w:sz w:val="22"/>
      <w:szCs w:val="22"/>
      <w:lang w:val="ru-RU" w:eastAsia="en-US"/>
    </w:rPr>
  </w:style>
  <w:style w:type="character" w:styleId="1" w:customStyle="1">
    <w:name w:val="Основной шрифт абзаца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/>
    </w:rPr>
  </w:style>
  <w:style w:type="paragraph" w:styleId="TextBody">
    <w:name w:val="Body Text"/>
    <w:basedOn w:val="Normal"/>
    <w:pPr>
      <w:spacing w:lineRule="auto" w:line="276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170" w:after="170"/>
      <w:jc w:val="left"/>
    </w:pPr>
    <w:rPr>
      <w:rFonts w:ascii="Times New Roman" w:hAnsi="Times New Roman" w:eastAsia="Times New Roman" w:cs="Times New Roman"/>
      <w:color w:val="auto"/>
      <w:kern w:val="2"/>
      <w:sz w:val="28"/>
      <w:szCs w:val="24"/>
      <w:lang w:val="ru-RU" w:eastAsia="zh-CN" w:bidi="ar-SA"/>
    </w:rPr>
  </w:style>
  <w:style w:type="paragraph" w:styleId="Style71" w:customStyle="1">
    <w:name w:val="Style71"/>
    <w:basedOn w:val="Normal"/>
    <w:qFormat/>
    <w:pPr>
      <w:widowControl w:val="false"/>
    </w:pPr>
    <w:rPr>
      <w:rFonts w:cs="Times New Roman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342030"/>
    <w:pPr/>
    <w:rPr>
      <w:rFonts w:ascii="Tahoma" w:hAnsi="Tahoma" w:cs="Mangal"/>
      <w:sz w:val="16"/>
      <w:szCs w:val="14"/>
    </w:rPr>
  </w:style>
  <w:style w:type="paragraph" w:styleId="Annotationtext">
    <w:name w:val="annotation text"/>
    <w:basedOn w:val="Normal"/>
    <w:uiPriority w:val="99"/>
    <w:semiHidden/>
    <w:unhideWhenUsed/>
    <w:qFormat/>
    <w:rsid w:val="00342030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342030"/>
    <w:pPr/>
    <w:rPr>
      <w:b/>
      <w:bCs/>
    </w:rPr>
  </w:style>
  <w:style w:type="paragraph" w:styleId="6" w:customStyle="1">
    <w:name w:val="Стиль6"/>
    <w:basedOn w:val="List"/>
    <w:qFormat/>
    <w:rsid w:val="00342030"/>
    <w:pPr>
      <w:numPr>
        <w:ilvl w:val="0"/>
        <w:numId w:val="3"/>
      </w:numPr>
      <w:spacing w:lineRule="auto" w:line="360" w:before="120" w:after="0"/>
      <w:ind w:left="0" w:hanging="0"/>
    </w:pPr>
    <w:rPr>
      <w:rFonts w:eastAsia="Times New Roman" w:cs="Arial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rcnw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LibreOffice/7.0.4.2$Linux_X86_64 LibreOffice_project/00$Build-2</Application>
  <AppVersion>15.0000</AppVersion>
  <Pages>8</Pages>
  <Words>1806</Words>
  <Characters>10922</Characters>
  <CharactersWithSpaces>12517</CharactersWithSpaces>
  <Paragraphs>159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2021-07-22T07:04:00Z</dcterms:created>
  <dc:creator>Dmitry Baryshkov</dc:creator>
  <dc:description/>
  <dc:language>en-GB</dc:language>
  <cp:lastModifiedBy>Dmitry Baryshkov</cp:lastModifiedBy>
  <cp:lastPrinted>2020-08-21T22:27:00Z</cp:lastPrinted>
  <dcterms:modified xsi:type="dcterms:W3CDTF">2021-07-29T19:52:28Z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